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snapToGrid w:val="0"/>
        <w:spacing w:line="360" w:lineRule="auto"/>
        <w:jc w:val="right"/>
        <w:rPr>
          <w:rFonts w:ascii="仿宋_GB2312" w:hAnsi="Calibri" w:eastAsia="仿宋_GB2312" w:cs="Calibri"/>
          <w:color w:val="000000"/>
          <w:sz w:val="28"/>
          <w:szCs w:val="28"/>
        </w:rPr>
      </w:pPr>
      <w:bookmarkStart w:id="0" w:name="_GoBack"/>
      <w:bookmarkEnd w:id="0"/>
      <w:r>
        <w:rPr>
          <w:rFonts w:hint="eastAsia" w:ascii="仿宋_GB2312" w:hAnsi="Calibri" w:eastAsia="仿宋_GB2312" w:cs="Calibri"/>
          <w:color w:val="000000"/>
          <w:sz w:val="28"/>
          <w:szCs w:val="28"/>
        </w:rPr>
        <w:t>编号：SHSSXZ0337-2026</w:t>
      </w:r>
    </w:p>
    <w:p>
      <w:pPr>
        <w:wordWrap w:val="0"/>
        <w:snapToGrid w:val="0"/>
        <w:spacing w:line="360" w:lineRule="auto"/>
        <w:jc w:val="right"/>
        <w:rPr>
          <w:rFonts w:ascii="Calibri" w:hAnsi="Calibri" w:eastAsia="方正小标宋简体" w:cs="Calibri"/>
          <w:color w:val="000000"/>
          <w:sz w:val="32"/>
          <w:szCs w:val="32"/>
        </w:rPr>
      </w:pPr>
      <w:r>
        <w:rPr>
          <w:rFonts w:ascii="仿宋_GB2312" w:hAnsi="Calibri" w:eastAsia="仿宋_GB2312" w:cs="Calibri"/>
          <w:color w:val="000000"/>
          <w:sz w:val="28"/>
          <w:szCs w:val="28"/>
        </w:rPr>
        <w:t xml:space="preserve">         </w:t>
      </w:r>
    </w:p>
    <w:p>
      <w:pPr>
        <w:spacing w:line="460" w:lineRule="exact"/>
        <w:jc w:val="center"/>
        <w:rPr>
          <w:rFonts w:ascii="黑体" w:hAnsi="黑体" w:eastAsia="黑体" w:cs="Calibri"/>
          <w:color w:val="000000"/>
          <w:sz w:val="30"/>
          <w:szCs w:val="30"/>
        </w:rPr>
      </w:pPr>
      <w:r>
        <w:rPr>
          <w:rFonts w:hint="eastAsia" w:ascii="黑体" w:hAnsi="黑体" w:eastAsia="黑体" w:cs="Calibri"/>
          <w:color w:val="000000"/>
          <w:sz w:val="30"/>
          <w:szCs w:val="30"/>
        </w:rPr>
        <w:t>上海市产品质量监督抽查实施细则</w:t>
      </w:r>
    </w:p>
    <w:p>
      <w:pPr>
        <w:spacing w:line="460" w:lineRule="exact"/>
        <w:jc w:val="center"/>
        <w:rPr>
          <w:rFonts w:ascii="黑体" w:hAnsi="黑体" w:eastAsia="黑体" w:cs="Calibri"/>
          <w:color w:val="000000"/>
          <w:sz w:val="30"/>
          <w:szCs w:val="30"/>
        </w:rPr>
      </w:pPr>
      <w:r>
        <w:rPr>
          <w:rFonts w:hint="eastAsia" w:ascii="黑体" w:hAnsi="黑体" w:eastAsia="黑体" w:cs="Calibri"/>
          <w:color w:val="000000"/>
          <w:sz w:val="30"/>
          <w:szCs w:val="30"/>
        </w:rPr>
        <w:t>太阳镜产品</w:t>
      </w: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ascii="黑体" w:hAnsi="黑体" w:eastAsia="黑体" w:cs="Calibri"/>
          <w:color w:val="000000"/>
          <w:szCs w:val="21"/>
        </w:rPr>
        <w:t>1 抽样</w:t>
      </w:r>
      <w:r>
        <w:rPr>
          <w:rFonts w:hint="eastAsia" w:ascii="黑体" w:hAnsi="黑体" w:eastAsia="黑体" w:cs="Calibri"/>
          <w:color w:val="000000"/>
          <w:szCs w:val="21"/>
        </w:rPr>
        <w:t>方法</w:t>
      </w:r>
    </w:p>
    <w:p>
      <w:pPr>
        <w:spacing w:line="460" w:lineRule="exact"/>
        <w:ind w:firstLine="420" w:firstLineChars="200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按照随机方式在被抽样生产者、销售者的待销产品中抽取样品。</w:t>
      </w: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ascii="黑体" w:hAnsi="黑体" w:eastAsia="黑体" w:cs="Calibri"/>
          <w:color w:val="000000"/>
          <w:szCs w:val="21"/>
        </w:rPr>
        <w:t>2 检</w:t>
      </w:r>
      <w:r>
        <w:rPr>
          <w:rFonts w:hint="eastAsia" w:ascii="黑体" w:hAnsi="黑体" w:eastAsia="黑体" w:cs="Calibri"/>
          <w:color w:val="000000"/>
          <w:szCs w:val="21"/>
        </w:rPr>
        <w:t>验方法与判定依据</w:t>
      </w:r>
    </w:p>
    <w:p>
      <w:pPr>
        <w:snapToGrid w:val="0"/>
        <w:spacing w:line="440" w:lineRule="exact"/>
        <w:jc w:val="center"/>
        <w:rPr>
          <w:rFonts w:ascii="宋体" w:hAnsi="宋体"/>
          <w:color w:val="000000"/>
          <w:szCs w:val="21"/>
        </w:rPr>
      </w:pPr>
      <w:r>
        <w:rPr>
          <w:rFonts w:hint="eastAsia" w:ascii="宋体" w:hAnsi="宋体"/>
          <w:color w:val="000000"/>
          <w:szCs w:val="21"/>
        </w:rPr>
        <w:t>表1  太阳镜检验项目</w:t>
      </w:r>
    </w:p>
    <w:tbl>
      <w:tblPr>
        <w:tblStyle w:val="5"/>
        <w:tblW w:w="957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0"/>
        <w:gridCol w:w="3122"/>
        <w:gridCol w:w="2201"/>
        <w:gridCol w:w="2022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序号</w:t>
            </w:r>
          </w:p>
        </w:tc>
        <w:tc>
          <w:tcPr>
            <w:tcW w:w="3122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ascii="宋体" w:hAnsi="宋体" w:cs="Calibri"/>
                <w:color w:val="000000"/>
                <w:szCs w:val="21"/>
              </w:rPr>
              <w:t>检</w:t>
            </w:r>
            <w:r>
              <w:rPr>
                <w:rFonts w:hint="eastAsia" w:ascii="宋体" w:hAnsi="宋体" w:cs="Calibri"/>
                <w:color w:val="000000"/>
                <w:szCs w:val="21"/>
              </w:rPr>
              <w:t>验</w:t>
            </w:r>
            <w:r>
              <w:rPr>
                <w:rFonts w:ascii="宋体" w:hAnsi="宋体" w:cs="Calibri"/>
                <w:color w:val="000000"/>
                <w:szCs w:val="21"/>
              </w:rPr>
              <w:t>项目</w:t>
            </w:r>
          </w:p>
        </w:tc>
        <w:tc>
          <w:tcPr>
            <w:tcW w:w="22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检验方法</w:t>
            </w:r>
          </w:p>
        </w:tc>
        <w:tc>
          <w:tcPr>
            <w:tcW w:w="2022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强制性质量要求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推荐性质量要求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结构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color w:val="000000"/>
                <w:szCs w:val="21"/>
              </w:rPr>
            </w:pP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第  </w:t>
            </w:r>
            <w:r>
              <w:rPr>
                <w:rFonts w:ascii="Times New Roman" w:hAnsi="Times New Roman" w:cs="Times New Roman"/>
                <w:sz w:val="21"/>
              </w:rPr>
              <w:t>5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第4.1条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镜片的材料和表面质量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5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第4.2条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3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光透射比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>6 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t>第5.5.1条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第5.1条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4.5.1</w:t>
            </w:r>
            <w:r>
              <w:rPr>
                <w:rFonts w:hint="eastAsia"/>
              </w:rPr>
              <w:t>.1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4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太阳紫外 A 波段透射比最大值</w:t>
            </w:r>
          </w:p>
        </w:tc>
        <w:tc>
          <w:tcPr>
            <w:tcW w:w="2201" w:type="dxa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>6 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t>第5.5.1条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第5.1条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4.5.1</w:t>
            </w:r>
            <w:r>
              <w:rPr>
                <w:rFonts w:hint="eastAsia"/>
              </w:rPr>
              <w:t>.1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5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太阳紫外 B 波段透射比最大值</w:t>
            </w:r>
          </w:p>
        </w:tc>
        <w:tc>
          <w:tcPr>
            <w:tcW w:w="2201" w:type="dxa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>6 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t>第5.5.1条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第5.1条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4.5.1</w:t>
            </w:r>
            <w:r>
              <w:rPr>
                <w:rFonts w:hint="eastAsia"/>
              </w:rPr>
              <w:t>.1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6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6"/>
              <w:jc w:val="center"/>
              <w:rPr>
                <w:sz w:val="21"/>
              </w:rPr>
            </w:pPr>
            <w:r>
              <w:rPr>
                <w:sz w:val="21"/>
              </w:rPr>
              <w:t>透射比的均匀性</w:t>
            </w:r>
            <w:r>
              <w:rPr>
                <w:rFonts w:hint="eastAsia"/>
                <w:sz w:val="21"/>
              </w:rPr>
              <w:t>(太阳镜和双目一体镜片</w:t>
            </w:r>
            <w:r>
              <w:rPr>
                <w:sz w:val="21"/>
              </w:rPr>
              <w:t>)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6.4</w:t>
            </w:r>
            <w:r>
              <w:rPr>
                <w:rFonts w:hint="eastAsia"/>
              </w:rPr>
              <w:t>.2</w:t>
            </w:r>
            <w:r>
              <w:t xml:space="preserve"> 条 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第5.2</w:t>
            </w:r>
            <w:r>
              <w:rPr>
                <w:rFonts w:hint="eastAsia"/>
                <w:sz w:val="21"/>
              </w:rPr>
              <w:t>.2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7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光透射比相对偏差</w:t>
            </w:r>
          </w:p>
        </w:tc>
        <w:tc>
          <w:tcPr>
            <w:tcW w:w="2201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第5.5.2条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第4.5.2</w:t>
            </w:r>
            <w:r>
              <w:rPr>
                <w:rFonts w:hint="eastAsia"/>
                <w:sz w:val="21"/>
              </w:rPr>
              <w:t>.1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5"/>
              <w:jc w:val="center"/>
              <w:rPr>
                <w:sz w:val="21"/>
              </w:rPr>
            </w:pPr>
            <w:r>
              <w:rPr>
                <w:sz w:val="21"/>
              </w:rPr>
              <w:t>行路及驾驶用太阳镜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6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第5.3条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9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5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交通信号识别</w:t>
            </w:r>
          </w:p>
        </w:tc>
        <w:tc>
          <w:tcPr>
            <w:tcW w:w="2201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第5.5.3条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第4.5.3</w:t>
            </w:r>
            <w:r>
              <w:rPr>
                <w:rFonts w:hint="eastAsia"/>
                <w:sz w:val="21"/>
              </w:rPr>
              <w:t>.1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10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6"/>
              <w:jc w:val="center"/>
              <w:rPr>
                <w:sz w:val="21"/>
              </w:rPr>
            </w:pPr>
            <w:r>
              <w:rPr>
                <w:rFonts w:hint="eastAsia"/>
                <w:sz w:val="21"/>
              </w:rPr>
              <w:t>散射光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6.10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第5.4条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11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4"/>
              <w:jc w:val="center"/>
              <w:rPr>
                <w:sz w:val="21"/>
              </w:rPr>
            </w:pPr>
            <w:r>
              <w:rPr>
                <w:sz w:val="21"/>
              </w:rPr>
              <w:t>偏振镜片和偏振太阳镜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</w:rPr>
              <w:t>39552.1-2020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z w:val="21"/>
              </w:rPr>
            </w:pPr>
            <w:r>
              <w:rPr>
                <w:rFonts w:ascii="Times New Roman" w:hAnsi="Times New Roman" w:cs="Times New Roman"/>
                <w:spacing w:val="-28"/>
              </w:rPr>
              <w:t xml:space="preserve">第  </w:t>
            </w:r>
            <w:r>
              <w:rPr>
                <w:rFonts w:ascii="Times New Roman" w:hAnsi="Times New Roman" w:cs="Times New Roman"/>
              </w:rPr>
              <w:t>5.5.2条</w:t>
            </w:r>
          </w:p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6.11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第5.5.2条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2</w:t>
            </w:r>
          </w:p>
        </w:tc>
        <w:tc>
          <w:tcPr>
            <w:tcW w:w="3122" w:type="dxa"/>
            <w:vAlign w:val="center"/>
          </w:tcPr>
          <w:p>
            <w:pPr>
              <w:pStyle w:val="12"/>
              <w:spacing w:before="137"/>
              <w:jc w:val="center"/>
              <w:rPr>
                <w:sz w:val="21"/>
              </w:rPr>
            </w:pPr>
            <w:r>
              <w:rPr>
                <w:sz w:val="21"/>
              </w:rPr>
              <w:t>透射比</w:t>
            </w:r>
            <w:r>
              <w:rPr>
                <w:rFonts w:hint="eastAsia"/>
                <w:sz w:val="21"/>
              </w:rPr>
              <w:t>的</w:t>
            </w:r>
            <w:r>
              <w:rPr>
                <w:sz w:val="21"/>
              </w:rPr>
              <w:t>明示要求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color w:val="000000"/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6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第5.6条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3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球镜度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>7.1 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</w:pPr>
            <w:r>
              <w:t>第5.2.2条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第6.1条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4.2.2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4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散光度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 xml:space="preserve">7.1 条 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</w:pPr>
            <w:r>
              <w:t>第5.5.2条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第6.1条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4.2.2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5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球镜度互差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</w:pPr>
            <w:r>
              <w:rPr>
                <w:spacing w:val="-28"/>
              </w:rPr>
              <w:t xml:space="preserve">第  </w:t>
            </w:r>
            <w:r>
              <w:t>7.1 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adjustRightInd w:val="0"/>
              <w:snapToGrid w:val="0"/>
              <w:jc w:val="left"/>
            </w:pPr>
            <w:r>
              <w:t>第5.2.2条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第6.1条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GB 45185-2024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>第</w:t>
            </w:r>
            <w:r>
              <w:t>4.2.2</w:t>
            </w:r>
            <w:r>
              <w:rPr>
                <w:sz w:val="21"/>
              </w:rPr>
              <w:t>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6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棱镜度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 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7.2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第6.2条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7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阻燃性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8.4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第10条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8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t>抗冲击性能（明示指标）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 xml:space="preserve">GB/T </w:t>
            </w:r>
            <w:r>
              <w:rPr>
                <w:rFonts w:ascii="Times New Roman" w:hAnsi="Times New Roman" w:cs="Times New Roman"/>
                <w:spacing w:val="-56"/>
                <w:sz w:val="21"/>
              </w:rPr>
              <w:t xml:space="preserve">  </w:t>
            </w:r>
            <w:r>
              <w:rPr>
                <w:rFonts w:ascii="Times New Roman" w:hAnsi="Times New Roman" w:cs="Times New Roman"/>
                <w:sz w:val="21"/>
              </w:rPr>
              <w:t>39552.2-2020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 xml:space="preserve">8.6 条 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第13条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snapToGrid w:val="0"/>
              <w:spacing w:line="44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  <w:r>
              <w:rPr>
                <w:rFonts w:ascii="宋体" w:hAnsi="宋体"/>
                <w:color w:val="000000"/>
                <w:szCs w:val="21"/>
              </w:rPr>
              <w:t>9</w:t>
            </w:r>
          </w:p>
        </w:tc>
        <w:tc>
          <w:tcPr>
            <w:tcW w:w="3122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szCs w:val="21"/>
              </w:rPr>
              <w:t>标志</w:t>
            </w:r>
          </w:p>
        </w:tc>
        <w:tc>
          <w:tcPr>
            <w:tcW w:w="2201" w:type="dxa"/>
            <w:vAlign w:val="center"/>
          </w:tcPr>
          <w:p>
            <w:pPr>
              <w:pStyle w:val="12"/>
              <w:adjustRightInd w:val="0"/>
              <w:snapToGrid w:val="0"/>
              <w:rPr>
                <w:rFonts w:ascii="Times New Roman" w:hAnsi="Times New Roman" w:cs="Times New Roman"/>
                <w:spacing w:val="-28"/>
                <w:sz w:val="21"/>
              </w:rPr>
            </w:pPr>
            <w:r>
              <w:rPr>
                <w:rFonts w:ascii="Times New Roman" w:hAnsi="Times New Roman" w:cs="Times New Roman"/>
                <w:sz w:val="21"/>
              </w:rPr>
              <w:t>GB 39552.1-2020</w:t>
            </w:r>
            <w:r>
              <w:rPr>
                <w:rFonts w:ascii="Times New Roman" w:hAnsi="Times New Roman" w:cs="Times New Roman"/>
                <w:spacing w:val="-28"/>
                <w:sz w:val="21"/>
              </w:rPr>
              <w:t xml:space="preserve"> </w:t>
            </w:r>
          </w:p>
          <w:p>
            <w:pPr>
              <w:adjustRightInd w:val="0"/>
              <w:snapToGrid w:val="0"/>
              <w:jc w:val="left"/>
              <w:rPr>
                <w:szCs w:val="21"/>
              </w:rPr>
            </w:pPr>
            <w:r>
              <w:rPr>
                <w:spacing w:val="-28"/>
              </w:rPr>
              <w:t xml:space="preserve">第  </w:t>
            </w:r>
            <w:r>
              <w:t>17.1 条</w:t>
            </w:r>
          </w:p>
        </w:tc>
        <w:tc>
          <w:tcPr>
            <w:tcW w:w="2022" w:type="dxa"/>
            <w:vAlign w:val="center"/>
          </w:tcPr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</w:rPr>
            </w:pPr>
            <w:r>
              <w:rPr>
                <w:sz w:val="21"/>
              </w:rPr>
              <w:t xml:space="preserve">GB </w:t>
            </w:r>
            <w:r>
              <w:rPr>
                <w:spacing w:val="-56"/>
                <w:sz w:val="21"/>
              </w:rPr>
              <w:t xml:space="preserve"> </w:t>
            </w:r>
            <w:r>
              <w:rPr>
                <w:sz w:val="21"/>
              </w:rPr>
              <w:t>39552.1-2020</w:t>
            </w:r>
          </w:p>
          <w:p>
            <w:pPr>
              <w:pStyle w:val="4"/>
              <w:pBdr>
                <w:bottom w:val="none" w:color="auto" w:sz="0" w:space="0"/>
              </w:pBdr>
              <w:tabs>
                <w:tab w:val="clear" w:pos="4153"/>
                <w:tab w:val="clear" w:pos="8306"/>
              </w:tabs>
              <w:adjustRightInd w:val="0"/>
              <w:jc w:val="left"/>
              <w:rPr>
                <w:sz w:val="21"/>
                <w:szCs w:val="21"/>
              </w:rPr>
            </w:pPr>
            <w:r>
              <w:rPr>
                <w:sz w:val="21"/>
              </w:rPr>
              <w:t>第17.1条</w:t>
            </w:r>
          </w:p>
        </w:tc>
        <w:tc>
          <w:tcPr>
            <w:tcW w:w="1701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/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530" w:type="dxa"/>
            <w:vAlign w:val="center"/>
          </w:tcPr>
          <w:p>
            <w:pPr>
              <w:jc w:val="center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说明</w:t>
            </w:r>
          </w:p>
        </w:tc>
        <w:tc>
          <w:tcPr>
            <w:tcW w:w="9046" w:type="dxa"/>
            <w:gridSpan w:val="4"/>
            <w:vAlign w:val="center"/>
          </w:tcPr>
          <w:p>
            <w:pPr>
              <w:jc w:val="left"/>
              <w:rPr>
                <w:rFonts w:ascii="宋体" w:hAnsi="宋体" w:cs="Calibri"/>
                <w:color w:val="000000"/>
                <w:szCs w:val="21"/>
              </w:rPr>
            </w:pPr>
            <w:r>
              <w:rPr>
                <w:rFonts w:hint="eastAsia" w:ascii="宋体" w:hAnsi="宋体" w:cs="Calibri"/>
                <w:color w:val="000000"/>
                <w:szCs w:val="21"/>
              </w:rPr>
              <w:t>法律法规、强制性标准、市场准入的相关规定是强制性质量要求；推荐性标准、标准中的非强制性条款的规定是推荐性质量要求；在产品或者其包装上，或者以产品说明、实物样品等方式表明的质量状况是明示质量要求。</w:t>
            </w:r>
          </w:p>
        </w:tc>
      </w:tr>
    </w:tbl>
    <w:p>
      <w:pPr>
        <w:snapToGrid w:val="0"/>
        <w:spacing w:line="460" w:lineRule="exact"/>
        <w:ind w:firstLine="420" w:firstLineChars="200"/>
        <w:rPr>
          <w:rFonts w:ascii="宋体" w:hAnsi="宋体" w:cs="Calibri"/>
          <w:color w:val="000000"/>
          <w:szCs w:val="21"/>
        </w:rPr>
      </w:pPr>
    </w:p>
    <w:p>
      <w:pPr>
        <w:snapToGrid w:val="0"/>
        <w:spacing w:line="460" w:lineRule="exact"/>
        <w:ind w:firstLine="420" w:firstLineChars="200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注：</w:t>
      </w:r>
      <w:r>
        <w:rPr>
          <w:rFonts w:ascii="宋体" w:hAnsi="宋体" w:cs="Calibri"/>
          <w:color w:val="000000"/>
          <w:szCs w:val="21"/>
        </w:rPr>
        <w:t>凡是注日期的文件，其随后所有的修改单（不包括勘误的内容）或修订版不适用于本细则。凡是不注日期的文件，其最新版本适用于本细则。</w:t>
      </w:r>
    </w:p>
    <w:p>
      <w:pPr>
        <w:spacing w:line="460" w:lineRule="exact"/>
        <w:rPr>
          <w:rFonts w:ascii="黑体" w:hAnsi="黑体" w:eastAsia="黑体" w:cs="Calibri"/>
          <w:color w:val="000000"/>
          <w:szCs w:val="21"/>
        </w:rPr>
      </w:pPr>
      <w:r>
        <w:rPr>
          <w:rFonts w:hint="eastAsia" w:ascii="黑体" w:hAnsi="黑体" w:eastAsia="黑体" w:cs="Calibri"/>
          <w:color w:val="000000"/>
          <w:szCs w:val="21"/>
        </w:rPr>
        <w:t>3</w:t>
      </w:r>
      <w:r>
        <w:rPr>
          <w:rFonts w:ascii="黑体" w:hAnsi="黑体" w:eastAsia="黑体" w:cs="Calibri"/>
          <w:color w:val="000000"/>
          <w:szCs w:val="21"/>
        </w:rPr>
        <w:t xml:space="preserve"> </w:t>
      </w:r>
      <w:r>
        <w:rPr>
          <w:rFonts w:hint="eastAsia" w:ascii="黑体" w:hAnsi="黑体" w:eastAsia="黑体" w:cs="Calibri"/>
          <w:color w:val="000000"/>
          <w:szCs w:val="21"/>
        </w:rPr>
        <w:t>检验结果判定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ascii="宋体" w:hAnsi="宋体" w:cs="Calibri"/>
          <w:color w:val="000000"/>
          <w:szCs w:val="21"/>
        </w:rPr>
        <w:t>3.</w:t>
      </w:r>
      <w:r>
        <w:rPr>
          <w:rFonts w:hint="eastAsia" w:ascii="宋体" w:hAnsi="宋体" w:cs="Calibri"/>
          <w:color w:val="000000"/>
          <w:szCs w:val="21"/>
        </w:rPr>
        <w:t>1</w:t>
      </w:r>
      <w:r>
        <w:rPr>
          <w:rFonts w:ascii="宋体" w:hAnsi="宋体" w:cs="Calibri"/>
          <w:color w:val="000000"/>
          <w:szCs w:val="21"/>
        </w:rPr>
        <w:t>判定</w:t>
      </w:r>
      <w:r>
        <w:rPr>
          <w:rFonts w:hint="eastAsia" w:ascii="宋体" w:hAnsi="宋体" w:cs="Calibri"/>
          <w:color w:val="000000"/>
          <w:szCs w:val="21"/>
        </w:rPr>
        <w:t>规则</w:t>
      </w:r>
    </w:p>
    <w:p>
      <w:pPr>
        <w:snapToGrid w:val="0"/>
        <w:spacing w:line="460" w:lineRule="exact"/>
        <w:rPr>
          <w:rFonts w:ascii="宋体" w:hAnsi="宋体" w:cs="Calibri"/>
          <w:szCs w:val="21"/>
        </w:rPr>
      </w:pPr>
      <w:r>
        <w:rPr>
          <w:rFonts w:hint="eastAsia" w:ascii="宋体" w:hAnsi="宋体" w:cs="Calibri"/>
          <w:szCs w:val="21"/>
        </w:rPr>
        <w:t>3</w:t>
      </w:r>
      <w:r>
        <w:rPr>
          <w:rFonts w:ascii="宋体" w:hAnsi="宋体" w:cs="Calibri"/>
          <w:szCs w:val="21"/>
        </w:rPr>
        <w:t>.1.</w:t>
      </w:r>
      <w:r>
        <w:rPr>
          <w:rFonts w:hint="eastAsia" w:ascii="宋体" w:hAnsi="宋体" w:cs="Calibri"/>
          <w:szCs w:val="21"/>
        </w:rPr>
        <w:t>1</w:t>
      </w:r>
      <w:r>
        <w:rPr>
          <w:rFonts w:ascii="宋体" w:hAnsi="宋体" w:cs="Calibri"/>
          <w:szCs w:val="21"/>
        </w:rPr>
        <w:t xml:space="preserve"> 若被</w:t>
      </w:r>
      <w:r>
        <w:rPr>
          <w:rFonts w:hint="eastAsia" w:ascii="宋体" w:hAnsi="宋体" w:cs="Calibri"/>
          <w:szCs w:val="21"/>
        </w:rPr>
        <w:t>抽查</w:t>
      </w:r>
      <w:r>
        <w:rPr>
          <w:rFonts w:ascii="宋体" w:hAnsi="宋体" w:cs="Calibri"/>
          <w:szCs w:val="21"/>
        </w:rPr>
        <w:t>产品明示质量要求高于本细则中</w:t>
      </w:r>
      <w:r>
        <w:rPr>
          <w:rFonts w:hint="eastAsia" w:ascii="宋体" w:hAnsi="宋体" w:cs="Calibri"/>
          <w:szCs w:val="21"/>
        </w:rPr>
        <w:t>检验</w:t>
      </w:r>
      <w:r>
        <w:rPr>
          <w:rFonts w:ascii="宋体" w:hAnsi="宋体" w:cs="Calibri"/>
          <w:szCs w:val="21"/>
        </w:rPr>
        <w:t>项目</w:t>
      </w:r>
      <w:r>
        <w:rPr>
          <w:rFonts w:hint="eastAsia" w:ascii="宋体" w:hAnsi="宋体" w:cs="Calibri"/>
          <w:szCs w:val="21"/>
        </w:rPr>
        <w:t>对应的质量</w:t>
      </w:r>
      <w:r>
        <w:rPr>
          <w:rFonts w:ascii="宋体" w:hAnsi="宋体" w:cs="Calibri"/>
          <w:szCs w:val="21"/>
        </w:rPr>
        <w:t>要求时，</w:t>
      </w:r>
      <w:r>
        <w:rPr>
          <w:rFonts w:hint="eastAsia" w:ascii="宋体" w:hAnsi="宋体" w:cs="Calibri"/>
          <w:szCs w:val="21"/>
        </w:rPr>
        <w:t>按照</w:t>
      </w:r>
      <w:r>
        <w:rPr>
          <w:rFonts w:ascii="宋体" w:hAnsi="宋体" w:cs="Calibri"/>
          <w:szCs w:val="21"/>
        </w:rPr>
        <w:t>被</w:t>
      </w:r>
      <w:r>
        <w:rPr>
          <w:rFonts w:hint="eastAsia" w:ascii="宋体" w:hAnsi="宋体" w:cs="Calibri"/>
          <w:szCs w:val="21"/>
        </w:rPr>
        <w:t>抽查</w:t>
      </w:r>
      <w:r>
        <w:rPr>
          <w:rFonts w:ascii="宋体" w:hAnsi="宋体" w:cs="Calibri"/>
          <w:szCs w:val="21"/>
        </w:rPr>
        <w:t>产品明示的质量要求判定。</w:t>
      </w:r>
    </w:p>
    <w:p>
      <w:pPr>
        <w:snapToGrid w:val="0"/>
        <w:spacing w:line="460" w:lineRule="exact"/>
        <w:rPr>
          <w:rFonts w:ascii="宋体" w:hAnsi="宋体" w:cs="Calibri"/>
          <w:szCs w:val="21"/>
        </w:rPr>
      </w:pPr>
      <w:r>
        <w:rPr>
          <w:rFonts w:hint="eastAsia" w:ascii="宋体" w:hAnsi="宋体" w:cs="Calibri"/>
          <w:szCs w:val="21"/>
        </w:rPr>
        <w:t>3</w:t>
      </w:r>
      <w:r>
        <w:rPr>
          <w:rFonts w:ascii="宋体" w:hAnsi="宋体" w:cs="Calibri"/>
          <w:szCs w:val="21"/>
        </w:rPr>
        <w:t>.1.</w:t>
      </w:r>
      <w:r>
        <w:rPr>
          <w:rFonts w:hint="eastAsia" w:ascii="宋体" w:hAnsi="宋体" w:cs="Calibri"/>
          <w:szCs w:val="21"/>
        </w:rPr>
        <w:t>2</w:t>
      </w:r>
      <w:r>
        <w:rPr>
          <w:rFonts w:ascii="宋体" w:hAnsi="宋体" w:cs="Calibri"/>
          <w:szCs w:val="21"/>
        </w:rPr>
        <w:t>若被</w:t>
      </w:r>
      <w:r>
        <w:rPr>
          <w:rFonts w:hint="eastAsia" w:ascii="宋体" w:hAnsi="宋体" w:cs="Calibri"/>
          <w:szCs w:val="21"/>
        </w:rPr>
        <w:t>抽查</w:t>
      </w:r>
      <w:r>
        <w:rPr>
          <w:rFonts w:ascii="宋体" w:hAnsi="宋体" w:cs="Calibri"/>
          <w:szCs w:val="21"/>
        </w:rPr>
        <w:t>产品明示质量要求</w:t>
      </w:r>
      <w:r>
        <w:rPr>
          <w:rFonts w:hint="eastAsia" w:ascii="宋体" w:hAnsi="宋体" w:cs="Calibri"/>
          <w:szCs w:val="21"/>
        </w:rPr>
        <w:t>缺少、低于或包含</w:t>
      </w:r>
      <w:r>
        <w:rPr>
          <w:rFonts w:ascii="宋体" w:hAnsi="宋体" w:cs="Calibri"/>
          <w:szCs w:val="21"/>
        </w:rPr>
        <w:t>本细则中</w:t>
      </w:r>
      <w:r>
        <w:rPr>
          <w:rFonts w:hint="eastAsia" w:ascii="宋体" w:hAnsi="宋体" w:cs="Calibri"/>
          <w:szCs w:val="21"/>
        </w:rPr>
        <w:t>检验</w:t>
      </w:r>
      <w:r>
        <w:rPr>
          <w:rFonts w:ascii="宋体" w:hAnsi="宋体" w:cs="Calibri"/>
          <w:szCs w:val="21"/>
        </w:rPr>
        <w:t>项目</w:t>
      </w:r>
      <w:r>
        <w:rPr>
          <w:rFonts w:hint="eastAsia" w:ascii="宋体" w:hAnsi="宋体" w:cs="Calibri"/>
          <w:szCs w:val="21"/>
        </w:rPr>
        <w:t>对应</w:t>
      </w:r>
      <w:r>
        <w:rPr>
          <w:rFonts w:ascii="宋体" w:hAnsi="宋体" w:cs="Calibri"/>
          <w:szCs w:val="21"/>
        </w:rPr>
        <w:t>的强制性</w:t>
      </w:r>
      <w:r>
        <w:rPr>
          <w:rFonts w:hint="eastAsia" w:ascii="宋体" w:hAnsi="宋体" w:cs="Calibri"/>
          <w:szCs w:val="21"/>
        </w:rPr>
        <w:t>质量</w:t>
      </w:r>
      <w:r>
        <w:rPr>
          <w:rFonts w:ascii="宋体" w:hAnsi="宋体" w:cs="Calibri"/>
          <w:szCs w:val="21"/>
        </w:rPr>
        <w:t>要求时，按照强制性</w:t>
      </w:r>
      <w:r>
        <w:rPr>
          <w:rFonts w:hint="eastAsia" w:ascii="宋体" w:hAnsi="宋体" w:cs="Calibri"/>
          <w:szCs w:val="21"/>
        </w:rPr>
        <w:t>质量</w:t>
      </w:r>
      <w:r>
        <w:rPr>
          <w:rFonts w:ascii="宋体" w:hAnsi="宋体" w:cs="Calibri"/>
          <w:szCs w:val="21"/>
        </w:rPr>
        <w:t>要求判定。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</w:t>
      </w:r>
      <w:r>
        <w:rPr>
          <w:rFonts w:hint="eastAsia" w:ascii="宋体" w:hAnsi="宋体" w:cs="Calibri"/>
          <w:color w:val="000000"/>
          <w:szCs w:val="21"/>
        </w:rPr>
        <w:t>2结果判定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.2.1</w:t>
      </w:r>
      <w:r>
        <w:rPr>
          <w:rFonts w:hint="eastAsia" w:ascii="宋体" w:hAnsi="宋体" w:cs="Calibri"/>
          <w:color w:val="000000"/>
          <w:szCs w:val="21"/>
        </w:rPr>
        <w:t>参与判定的</w:t>
      </w:r>
      <w:r>
        <w:rPr>
          <w:rFonts w:ascii="宋体" w:hAnsi="宋体" w:cs="Calibri"/>
          <w:color w:val="000000"/>
          <w:szCs w:val="21"/>
        </w:rPr>
        <w:t>检</w:t>
      </w:r>
      <w:r>
        <w:rPr>
          <w:rFonts w:hint="eastAsia" w:ascii="宋体" w:hAnsi="宋体" w:cs="Calibri"/>
          <w:color w:val="000000"/>
          <w:szCs w:val="21"/>
        </w:rPr>
        <w:t>验</w:t>
      </w:r>
      <w:r>
        <w:rPr>
          <w:rFonts w:ascii="宋体" w:hAnsi="宋体" w:cs="Calibri"/>
          <w:color w:val="000000"/>
          <w:szCs w:val="21"/>
        </w:rPr>
        <w:t>项目中任一项或一项以上不</w:t>
      </w:r>
      <w:r>
        <w:rPr>
          <w:rFonts w:hint="eastAsia" w:ascii="宋体" w:hAnsi="宋体" w:cs="Calibri"/>
          <w:color w:val="000000"/>
          <w:szCs w:val="21"/>
        </w:rPr>
        <w:t>符合质量要求</w:t>
      </w:r>
      <w:r>
        <w:rPr>
          <w:rFonts w:ascii="宋体" w:hAnsi="宋体" w:cs="Calibri"/>
          <w:color w:val="000000"/>
          <w:szCs w:val="21"/>
        </w:rPr>
        <w:t>，判定为被抽查产品不合格。</w:t>
      </w:r>
    </w:p>
    <w:p>
      <w:pPr>
        <w:snapToGrid w:val="0"/>
        <w:spacing w:line="460" w:lineRule="exact"/>
        <w:rPr>
          <w:rFonts w:ascii="宋体" w:hAnsi="宋体" w:cs="Calibri"/>
          <w:color w:val="000000"/>
          <w:szCs w:val="21"/>
        </w:rPr>
      </w:pPr>
      <w:r>
        <w:rPr>
          <w:rFonts w:hint="eastAsia" w:ascii="宋体" w:hAnsi="宋体" w:cs="Calibri"/>
          <w:color w:val="000000"/>
          <w:szCs w:val="21"/>
        </w:rPr>
        <w:t>3</w:t>
      </w:r>
      <w:r>
        <w:rPr>
          <w:rFonts w:ascii="宋体" w:hAnsi="宋体" w:cs="Calibri"/>
          <w:color w:val="000000"/>
          <w:szCs w:val="21"/>
        </w:rPr>
        <w:t>.2.2</w:t>
      </w:r>
      <w:r>
        <w:rPr>
          <w:rFonts w:hint="eastAsia" w:ascii="宋体" w:hAnsi="宋体" w:cs="Calibri"/>
          <w:color w:val="000000"/>
          <w:szCs w:val="21"/>
        </w:rPr>
        <w:t>若检验项目全部符合质量要求，表明未发现被抽查产品不合格，不判定被抽查产品合格。</w:t>
      </w:r>
    </w:p>
    <w:p>
      <w:pPr>
        <w:snapToGrid w:val="0"/>
        <w:spacing w:line="460" w:lineRule="exact"/>
        <w:ind w:firstLine="417" w:firstLineChars="199"/>
        <w:rPr>
          <w:rFonts w:ascii="宋体" w:hAnsi="宋体" w:cs="Calibri"/>
          <w:color w:val="000000"/>
          <w:szCs w:val="21"/>
        </w:rPr>
      </w:pPr>
    </w:p>
    <w:p>
      <w:pPr>
        <w:snapToGrid w:val="0"/>
        <w:spacing w:line="440" w:lineRule="exact"/>
        <w:ind w:firstLine="359" w:firstLineChars="171"/>
        <w:rPr>
          <w:rFonts w:ascii="宋体" w:hAnsi="宋体"/>
          <w:color w:val="FF0000"/>
          <w:szCs w:val="21"/>
        </w:rPr>
      </w:pPr>
    </w:p>
    <w:sectPr>
      <w:headerReference r:id="rId3" w:type="default"/>
      <w:footerReference r:id="rId4" w:type="default"/>
      <w:footerReference r:id="rId5" w:type="even"/>
      <w:pgSz w:w="11906" w:h="16838"/>
      <w:pgMar w:top="1985" w:right="1361" w:bottom="1361" w:left="158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t>1</w:t>
    </w:r>
    <w:r>
      <w:rPr>
        <w:lang w:val="zh-CN"/>
      </w:rPr>
      <w:fldChar w:fldCharType="end"/>
    </w:r>
  </w:p>
  <w:p>
    <w:pPr>
      <w:pStyle w:val="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2</w:t>
    </w:r>
    <w:r>
      <w:fldChar w:fldCharType="end"/>
    </w:r>
  </w:p>
  <w:p>
    <w:pPr>
      <w:pStyle w:val="3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EyZGIwZDRhZWZjYjY0YzUzZGYwM2JlZTQxOTkyNGYifQ=="/>
  </w:docVars>
  <w:rsids>
    <w:rsidRoot w:val="00172A27"/>
    <w:rsid w:val="00003E09"/>
    <w:rsid w:val="00020A8B"/>
    <w:rsid w:val="00051A44"/>
    <w:rsid w:val="00054D01"/>
    <w:rsid w:val="00081CBD"/>
    <w:rsid w:val="00082A8C"/>
    <w:rsid w:val="0008317E"/>
    <w:rsid w:val="000855E6"/>
    <w:rsid w:val="00090981"/>
    <w:rsid w:val="000976DE"/>
    <w:rsid w:val="000A6DE0"/>
    <w:rsid w:val="000A7657"/>
    <w:rsid w:val="000E2C7A"/>
    <w:rsid w:val="000E5710"/>
    <w:rsid w:val="00172A27"/>
    <w:rsid w:val="00177534"/>
    <w:rsid w:val="001809DD"/>
    <w:rsid w:val="001835D3"/>
    <w:rsid w:val="001A604B"/>
    <w:rsid w:val="001B636F"/>
    <w:rsid w:val="00202CF4"/>
    <w:rsid w:val="002246C8"/>
    <w:rsid w:val="00253624"/>
    <w:rsid w:val="00261765"/>
    <w:rsid w:val="0026391E"/>
    <w:rsid w:val="002A0F93"/>
    <w:rsid w:val="002A5EE5"/>
    <w:rsid w:val="002B12DA"/>
    <w:rsid w:val="002D7F8A"/>
    <w:rsid w:val="002E0D1D"/>
    <w:rsid w:val="00302003"/>
    <w:rsid w:val="00316D44"/>
    <w:rsid w:val="003203A3"/>
    <w:rsid w:val="00345D41"/>
    <w:rsid w:val="003653CF"/>
    <w:rsid w:val="00385840"/>
    <w:rsid w:val="003C388C"/>
    <w:rsid w:val="003E61BF"/>
    <w:rsid w:val="00404C33"/>
    <w:rsid w:val="00433A8D"/>
    <w:rsid w:val="00445E86"/>
    <w:rsid w:val="00452032"/>
    <w:rsid w:val="00470F7B"/>
    <w:rsid w:val="00474E04"/>
    <w:rsid w:val="00476B1F"/>
    <w:rsid w:val="004A77DE"/>
    <w:rsid w:val="004B4F6C"/>
    <w:rsid w:val="004C4074"/>
    <w:rsid w:val="004D0C5A"/>
    <w:rsid w:val="004E1396"/>
    <w:rsid w:val="004E2969"/>
    <w:rsid w:val="005073C7"/>
    <w:rsid w:val="00535599"/>
    <w:rsid w:val="00544CBD"/>
    <w:rsid w:val="005474DA"/>
    <w:rsid w:val="00563EBC"/>
    <w:rsid w:val="00572F06"/>
    <w:rsid w:val="005E61EF"/>
    <w:rsid w:val="00622551"/>
    <w:rsid w:val="00645EEB"/>
    <w:rsid w:val="00653743"/>
    <w:rsid w:val="00667EB6"/>
    <w:rsid w:val="00671BE4"/>
    <w:rsid w:val="006C306F"/>
    <w:rsid w:val="006C52CE"/>
    <w:rsid w:val="006C5619"/>
    <w:rsid w:val="006D3F95"/>
    <w:rsid w:val="006D493D"/>
    <w:rsid w:val="006F0971"/>
    <w:rsid w:val="00711A60"/>
    <w:rsid w:val="00711B82"/>
    <w:rsid w:val="0072334C"/>
    <w:rsid w:val="0072798C"/>
    <w:rsid w:val="007A15D7"/>
    <w:rsid w:val="007F0492"/>
    <w:rsid w:val="00812F1E"/>
    <w:rsid w:val="00815675"/>
    <w:rsid w:val="0084549E"/>
    <w:rsid w:val="00847A74"/>
    <w:rsid w:val="008557F2"/>
    <w:rsid w:val="008607DD"/>
    <w:rsid w:val="00867AAC"/>
    <w:rsid w:val="00895BEA"/>
    <w:rsid w:val="008A10FA"/>
    <w:rsid w:val="008A3497"/>
    <w:rsid w:val="00917A54"/>
    <w:rsid w:val="00932A3F"/>
    <w:rsid w:val="00943EB5"/>
    <w:rsid w:val="00961CBC"/>
    <w:rsid w:val="009757B4"/>
    <w:rsid w:val="009954CC"/>
    <w:rsid w:val="009A1E36"/>
    <w:rsid w:val="009A43C6"/>
    <w:rsid w:val="009D0F2B"/>
    <w:rsid w:val="00A23303"/>
    <w:rsid w:val="00A319EC"/>
    <w:rsid w:val="00A32B29"/>
    <w:rsid w:val="00A344EB"/>
    <w:rsid w:val="00A36D28"/>
    <w:rsid w:val="00A43553"/>
    <w:rsid w:val="00A52FD9"/>
    <w:rsid w:val="00AD49C1"/>
    <w:rsid w:val="00AD4FAC"/>
    <w:rsid w:val="00B422FC"/>
    <w:rsid w:val="00B67674"/>
    <w:rsid w:val="00B72749"/>
    <w:rsid w:val="00B75845"/>
    <w:rsid w:val="00B81094"/>
    <w:rsid w:val="00B96125"/>
    <w:rsid w:val="00C00FEE"/>
    <w:rsid w:val="00C23C12"/>
    <w:rsid w:val="00C26074"/>
    <w:rsid w:val="00C40202"/>
    <w:rsid w:val="00C50099"/>
    <w:rsid w:val="00C612CF"/>
    <w:rsid w:val="00C83B0A"/>
    <w:rsid w:val="00C97D31"/>
    <w:rsid w:val="00CA5A90"/>
    <w:rsid w:val="00CD7801"/>
    <w:rsid w:val="00CE1E0C"/>
    <w:rsid w:val="00CE277E"/>
    <w:rsid w:val="00D00EB5"/>
    <w:rsid w:val="00D27C7E"/>
    <w:rsid w:val="00D310C8"/>
    <w:rsid w:val="00D434B1"/>
    <w:rsid w:val="00D45C5A"/>
    <w:rsid w:val="00D56867"/>
    <w:rsid w:val="00D6158D"/>
    <w:rsid w:val="00D65418"/>
    <w:rsid w:val="00D717CC"/>
    <w:rsid w:val="00DD3222"/>
    <w:rsid w:val="00DD7752"/>
    <w:rsid w:val="00E02A7F"/>
    <w:rsid w:val="00E03944"/>
    <w:rsid w:val="00E07880"/>
    <w:rsid w:val="00E25D51"/>
    <w:rsid w:val="00E51C28"/>
    <w:rsid w:val="00E57EEC"/>
    <w:rsid w:val="00E82621"/>
    <w:rsid w:val="00EA2AC6"/>
    <w:rsid w:val="00EA4A34"/>
    <w:rsid w:val="00EB1B65"/>
    <w:rsid w:val="00ED7BA4"/>
    <w:rsid w:val="00EE2ACB"/>
    <w:rsid w:val="00EF29E6"/>
    <w:rsid w:val="00F10D66"/>
    <w:rsid w:val="00F420A3"/>
    <w:rsid w:val="00F50A53"/>
    <w:rsid w:val="00F77C9A"/>
    <w:rsid w:val="00F81994"/>
    <w:rsid w:val="00FB576C"/>
    <w:rsid w:val="00FD2AA6"/>
    <w:rsid w:val="00FD3A3C"/>
    <w:rsid w:val="00FD5641"/>
    <w:rsid w:val="00FE0DF0"/>
    <w:rsid w:val="00FE1204"/>
    <w:rsid w:val="00FE7E8A"/>
    <w:rsid w:val="09E56324"/>
    <w:rsid w:val="2FFB825D"/>
    <w:rsid w:val="53C668D7"/>
    <w:rsid w:val="7AFFDA8B"/>
    <w:rsid w:val="96FCAECB"/>
    <w:rsid w:val="CF7EC54F"/>
    <w:rsid w:val="F6FD9BAA"/>
    <w:rsid w:val="FE3F7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character" w:customStyle="1" w:styleId="8">
    <w:name w:val="批注框文本 字符"/>
    <w:link w:val="2"/>
    <w:semiHidden/>
    <w:qFormat/>
    <w:uiPriority w:val="0"/>
    <w:rPr>
      <w:kern w:val="2"/>
      <w:sz w:val="18"/>
      <w:szCs w:val="18"/>
    </w:rPr>
  </w:style>
  <w:style w:type="character" w:customStyle="1" w:styleId="9">
    <w:name w:val="页脚 字符"/>
    <w:link w:val="3"/>
    <w:qFormat/>
    <w:uiPriority w:val="99"/>
    <w:rPr>
      <w:kern w:val="2"/>
      <w:sz w:val="18"/>
      <w:szCs w:val="18"/>
    </w:rPr>
  </w:style>
  <w:style w:type="character" w:customStyle="1" w:styleId="10">
    <w:name w:val="页眉 字符"/>
    <w:link w:val="4"/>
    <w:qFormat/>
    <w:uiPriority w:val="0"/>
    <w:rPr>
      <w:kern w:val="2"/>
      <w:sz w:val="18"/>
      <w:szCs w:val="18"/>
    </w:rPr>
  </w:style>
  <w:style w:type="paragraph" w:customStyle="1" w:styleId="11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  <w:style w:type="paragraph" w:customStyle="1" w:styleId="12">
    <w:name w:val="Table Paragraph"/>
    <w:basedOn w:val="1"/>
    <w:qFormat/>
    <w:uiPriority w:val="1"/>
    <w:pPr>
      <w:autoSpaceDE w:val="0"/>
      <w:autoSpaceDN w:val="0"/>
      <w:jc w:val="left"/>
    </w:pPr>
    <w:rPr>
      <w:rFonts w:ascii="宋体" w:hAnsi="宋体" w:cs="宋体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Legend (Beijing) Limited</Company>
  <Pages>2</Pages>
  <Words>314</Words>
  <Characters>1794</Characters>
  <Lines>14</Lines>
  <Paragraphs>4</Paragraphs>
  <TotalTime>3</TotalTime>
  <ScaleCrop>false</ScaleCrop>
  <LinksUpToDate>false</LinksUpToDate>
  <CharactersWithSpaces>2104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2025-12-30T00:51:00Z</dcterms:created>
  <dc:creator>Legend User</dc:creator>
  <cp:lastModifiedBy>mhxc</cp:lastModifiedBy>
  <cp:lastPrinted>2021-03-07T07:17:00Z</cp:lastPrinted>
  <dcterms:modified xsi:type="dcterms:W3CDTF">2026-07-20T15:17:20Z</dcterms:modified>
  <dc:title>××产品质量监督抽查实施细则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E1A423B79708BDDBEAE1516998B9EB6A</vt:lpwstr>
  </property>
  <property fmtid="{D5CDD505-2E9C-101B-9397-08002B2CF9AE}" pid="4" name="KSOTemplateDocerSaveRecord">
    <vt:lpwstr>eyJoZGlkIjoiMTI4ZTg0ZGMyZTJmNWY1MTcwYjYwNDRhYjVkNTJkMzQiLCJ1c2VySWQiOiIxMTY4MzIyMzkzIn0=</vt:lpwstr>
  </property>
</Properties>
</file>